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5064A3" w:rsidRDefault="00AC0148" w:rsidP="00681175">
            <w:pPr>
              <w:jc w:val="center"/>
              <w:rPr>
                <w:b/>
              </w:rPr>
            </w:pPr>
            <w:r w:rsidRPr="005064A3">
              <w:rPr>
                <w:b/>
              </w:rPr>
              <w:t>Grade</w:t>
            </w:r>
            <w:r w:rsidR="005064A3" w:rsidRPr="005064A3">
              <w:rPr>
                <w:b/>
              </w:rPr>
              <w:t xml:space="preserve"> 4</w:t>
            </w:r>
          </w:p>
          <w:p w:rsidR="001D1D26" w:rsidRPr="005064A3" w:rsidRDefault="005064A3" w:rsidP="00681175">
            <w:pPr>
              <w:jc w:val="center"/>
              <w:rPr>
                <w:b/>
              </w:rPr>
            </w:pPr>
            <w:r w:rsidRPr="005064A3">
              <w:rPr>
                <w:b/>
              </w:rPr>
              <w:t>Parts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5064A3" w:rsidP="001D1D26">
            <w:r>
              <w:t>Students will:</w:t>
            </w:r>
          </w:p>
          <w:p w:rsidR="005064A3" w:rsidRDefault="005064A3" w:rsidP="001D1D26">
            <w:r>
              <w:t>Draw a simple background and lock it into place</w:t>
            </w:r>
            <w:r w:rsidR="005565E3">
              <w:t>.</w:t>
            </w:r>
          </w:p>
          <w:p w:rsidR="005565E3" w:rsidRDefault="005565E3" w:rsidP="001D1D26">
            <w:r>
              <w:t>Add a digital image of a machine (bicycle) to the project.</w:t>
            </w:r>
          </w:p>
          <w:p w:rsidR="005064A3" w:rsidRDefault="005064A3" w:rsidP="001D1D26">
            <w:r>
              <w:t xml:space="preserve">Analyze and </w:t>
            </w:r>
            <w:r w:rsidR="005565E3">
              <w:t>trace</w:t>
            </w:r>
            <w:r>
              <w:t xml:space="preserve"> </w:t>
            </w:r>
            <w:r w:rsidR="005565E3">
              <w:t>component parts of the</w:t>
            </w:r>
            <w:r>
              <w:t xml:space="preserve"> machine.</w:t>
            </w:r>
          </w:p>
          <w:p w:rsidR="005064A3" w:rsidRDefault="005064A3" w:rsidP="001D1D26">
            <w:r>
              <w:t>Name the parts.</w:t>
            </w:r>
          </w:p>
          <w:p w:rsidR="005064A3" w:rsidRDefault="005064A3" w:rsidP="001D1D26">
            <w:r>
              <w:t>Script the parts to move.</w:t>
            </w:r>
          </w:p>
          <w:p w:rsidR="005064A3" w:rsidRDefault="005064A3" w:rsidP="001D1D26">
            <w:r>
              <w:t xml:space="preserve">Use </w:t>
            </w:r>
            <w:r w:rsidR="005565E3">
              <w:t>the Scriptor menu</w:t>
            </w:r>
            <w:r>
              <w:t>: when should this script run</w:t>
            </w:r>
            <w:r w:rsidR="005565E3">
              <w:t>?</w:t>
            </w:r>
          </w:p>
          <w:p w:rsidR="007F2119" w:rsidRDefault="007F2119" w:rsidP="001D1D26">
            <w:r>
              <w:t>Title the project.</w:t>
            </w:r>
          </w:p>
          <w:p w:rsidR="007F2119" w:rsidRDefault="007F2119" w:rsidP="007F2119">
            <w:r>
              <w:t>Write directions to help</w:t>
            </w:r>
            <w:r w:rsidR="005565E3">
              <w:t xml:space="preserve"> </w:t>
            </w:r>
            <w:r>
              <w:t>or hinder</w:t>
            </w:r>
            <w:r w:rsidR="005565E3">
              <w:t xml:space="preserve"> </w:t>
            </w:r>
            <w:r>
              <w:t>assembly.</w:t>
            </w:r>
            <w:r w:rsidR="005565E3">
              <w:t xml:space="preserve"> 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7F2119" w:rsidRDefault="007F2119" w:rsidP="001D1D26">
            <w:pPr>
              <w:rPr>
                <w:noProof/>
              </w:rPr>
            </w:pPr>
          </w:p>
          <w:p w:rsidR="00FF2BFE" w:rsidRDefault="007F2119" w:rsidP="007F21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4" name="Picture 2" descr="pa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119" w:rsidRDefault="007F2119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7F2119" w:rsidP="00847E3C">
            <w:r>
              <w:t xml:space="preserve">Science, </w:t>
            </w:r>
            <w:r w:rsidR="00215752">
              <w:t xml:space="preserve"> </w:t>
            </w:r>
            <w:r>
              <w:t>Mathematics</w:t>
            </w:r>
            <w:r w:rsidR="00215752">
              <w:t xml:space="preserve">, </w:t>
            </w:r>
            <w:r w:rsidR="005565E3">
              <w:t xml:space="preserve"> </w:t>
            </w:r>
            <w:r w:rsidR="00215752">
              <w:t>Art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7F2119" w:rsidP="00FA0A1E">
            <w:r>
              <w:t>Analyze, assemble, disassemble, construct, deconstruct, center of rotation,</w:t>
            </w:r>
            <w:r w:rsidR="00215752">
              <w:t xml:space="preserve"> mobile, kinetic art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7F2119" w:rsidRDefault="007F2119" w:rsidP="00847E3C">
            <w:pPr>
              <w:rPr>
                <w:b/>
              </w:rPr>
            </w:pPr>
          </w:p>
          <w:p w:rsidR="007F2119" w:rsidRDefault="007F2119" w:rsidP="007F211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Digital Images</w:t>
            </w:r>
          </w:p>
          <w:p w:rsidR="007F2119" w:rsidRDefault="007F2119" w:rsidP="007F211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lastRenderedPageBreak/>
              <w:t>Script Tiles: Scale Factor</w:t>
            </w:r>
          </w:p>
          <w:p w:rsidR="00215752" w:rsidRDefault="00215752" w:rsidP="007F2119">
            <w:pPr>
              <w:rPr>
                <w:color w:val="008080"/>
                <w:sz w:val="20"/>
                <w:szCs w:val="20"/>
              </w:rPr>
            </w:pPr>
          </w:p>
          <w:p w:rsidR="005565E3" w:rsidRDefault="005565E3" w:rsidP="007F2119">
            <w:pPr>
              <w:rPr>
                <w:color w:val="008080"/>
                <w:sz w:val="20"/>
                <w:szCs w:val="20"/>
              </w:rPr>
            </w:pPr>
          </w:p>
          <w:p w:rsidR="005565E3" w:rsidRDefault="005565E3" w:rsidP="007F2119">
            <w:pPr>
              <w:rPr>
                <w:color w:val="008080"/>
                <w:sz w:val="20"/>
                <w:szCs w:val="20"/>
              </w:rPr>
            </w:pPr>
          </w:p>
          <w:p w:rsidR="005565E3" w:rsidRDefault="005565E3" w:rsidP="007F2119">
            <w:pPr>
              <w:rPr>
                <w:color w:val="008080"/>
                <w:sz w:val="20"/>
                <w:szCs w:val="20"/>
              </w:rPr>
            </w:pPr>
          </w:p>
          <w:p w:rsidR="005565E3" w:rsidRDefault="005565E3" w:rsidP="007F2119">
            <w:pPr>
              <w:rPr>
                <w:color w:val="008080"/>
                <w:sz w:val="20"/>
                <w:szCs w:val="20"/>
              </w:rPr>
            </w:pPr>
          </w:p>
          <w:p w:rsidR="005565E3" w:rsidRDefault="005565E3" w:rsidP="007F2119">
            <w:pPr>
              <w:rPr>
                <w:color w:val="008080"/>
                <w:sz w:val="20"/>
                <w:szCs w:val="20"/>
              </w:rPr>
            </w:pPr>
          </w:p>
          <w:p w:rsidR="005565E3" w:rsidRDefault="005565E3" w:rsidP="007F2119">
            <w:pPr>
              <w:rPr>
                <w:color w:val="008080"/>
                <w:sz w:val="20"/>
                <w:szCs w:val="20"/>
              </w:rPr>
            </w:pPr>
          </w:p>
          <w:p w:rsidR="00215752" w:rsidRDefault="00215752" w:rsidP="0021575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</w:t>
            </w:r>
          </w:p>
          <w:p w:rsidR="00215752" w:rsidRDefault="00215752" w:rsidP="00215752">
            <w:pPr>
              <w:rPr>
                <w:color w:val="008080"/>
                <w:sz w:val="20"/>
                <w:szCs w:val="20"/>
              </w:rPr>
            </w:pPr>
          </w:p>
          <w:p w:rsidR="00215752" w:rsidRDefault="00215752" w:rsidP="00215752">
            <w:pPr>
              <w:rPr>
                <w:color w:val="008080"/>
                <w:sz w:val="20"/>
                <w:szCs w:val="20"/>
              </w:rPr>
            </w:pPr>
          </w:p>
          <w:p w:rsidR="00215752" w:rsidRDefault="00215752" w:rsidP="00215752">
            <w:pPr>
              <w:rPr>
                <w:color w:val="008080"/>
                <w:sz w:val="20"/>
                <w:szCs w:val="20"/>
              </w:rPr>
            </w:pPr>
          </w:p>
          <w:p w:rsidR="00215752" w:rsidRDefault="00215752" w:rsidP="00215752">
            <w:pPr>
              <w:rPr>
                <w:color w:val="008080"/>
                <w:sz w:val="20"/>
                <w:szCs w:val="20"/>
              </w:rPr>
            </w:pPr>
          </w:p>
          <w:p w:rsidR="00215752" w:rsidRDefault="00215752" w:rsidP="00215752">
            <w:pPr>
              <w:rPr>
                <w:color w:val="008080"/>
                <w:sz w:val="20"/>
                <w:szCs w:val="20"/>
              </w:rPr>
            </w:pPr>
          </w:p>
          <w:p w:rsidR="007F2119" w:rsidRPr="00215752" w:rsidRDefault="00215752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8331" w:type="dxa"/>
          </w:tcPr>
          <w:p w:rsidR="005565E3" w:rsidRDefault="007F2119" w:rsidP="005100EF">
            <w:r>
              <w:lastRenderedPageBreak/>
              <w:t>Give students a set of digital images and time to look at them and select their favorite.</w:t>
            </w:r>
          </w:p>
          <w:p w:rsidR="007F2119" w:rsidRDefault="005565E3" w:rsidP="005100EF">
            <w:r>
              <w:t>Students will have r</w:t>
            </w:r>
            <w:r w:rsidR="007F2119">
              <w:t>eason</w:t>
            </w:r>
            <w:r>
              <w:t>s for which image they selected. D</w:t>
            </w:r>
            <w:r w:rsidR="007F2119">
              <w:t>i</w:t>
            </w:r>
            <w:r>
              <w:t>scuss.</w:t>
            </w:r>
          </w:p>
          <w:p w:rsidR="00394491" w:rsidRDefault="007F2119" w:rsidP="005100EF">
            <w:r>
              <w:lastRenderedPageBreak/>
              <w:t xml:space="preserve">Change the size of the image using the scale factor tile in its Viewer. </w:t>
            </w:r>
            <w:r w:rsidR="00215752">
              <w:t xml:space="preserve"> Make it a size that fits the screen and the paint tool scrim. </w:t>
            </w:r>
          </w:p>
          <w:p w:rsidR="005565E3" w:rsidRDefault="005565E3" w:rsidP="005100EF"/>
          <w:p w:rsidR="007B73B3" w:rsidRDefault="007B73B3" w:rsidP="005100EF">
            <w:r>
              <w:t xml:space="preserve">The digital image can be kept or discarded as the student decides but in both cases the web site should be credited with a link. </w:t>
            </w:r>
          </w:p>
          <w:p w:rsidR="00215752" w:rsidRDefault="00215752" w:rsidP="005100EF"/>
          <w:p w:rsidR="00215752" w:rsidRDefault="00215752" w:rsidP="005100EF">
            <w:r>
              <w:t>Paint/trace each visible part, each with its own paint palette. Name the part after closing the palette; e.g. wheel, seat etc.</w:t>
            </w:r>
          </w:p>
          <w:p w:rsidR="00215752" w:rsidRDefault="00215752" w:rsidP="005100EF"/>
          <w:p w:rsidR="00215752" w:rsidRDefault="00215752" w:rsidP="005100EF">
            <w:r>
              <w:t>Give students time to think and to draw at the smallest part level where they are comfortable.</w:t>
            </w:r>
          </w:p>
          <w:p w:rsidR="00215752" w:rsidRDefault="00215752" w:rsidP="005100EF"/>
          <w:p w:rsidR="00215752" w:rsidRDefault="00215752" w:rsidP="005100EF">
            <w:r>
              <w:t>Keep the project: nameParts, e.g. KateParts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A87D06">
            <w:pPr>
              <w:rPr>
                <w:b/>
              </w:rPr>
            </w:pPr>
            <w:r w:rsidRPr="00681175">
              <w:rPr>
                <w:b/>
              </w:rPr>
              <w:lastRenderedPageBreak/>
              <w:t>Lesson 2:</w:t>
            </w:r>
          </w:p>
          <w:p w:rsidR="009F2999" w:rsidRDefault="009F2999" w:rsidP="00A87D06">
            <w:pPr>
              <w:rPr>
                <w:b/>
              </w:rPr>
            </w:pPr>
          </w:p>
          <w:p w:rsidR="009F2999" w:rsidRDefault="009F2999" w:rsidP="00A87D06">
            <w:pPr>
              <w:rPr>
                <w:b/>
              </w:rPr>
            </w:pPr>
          </w:p>
          <w:p w:rsidR="007B73B3" w:rsidRDefault="007B73B3" w:rsidP="00A87D06">
            <w:pPr>
              <w:rPr>
                <w:b/>
              </w:rPr>
            </w:pPr>
          </w:p>
          <w:p w:rsidR="009F2999" w:rsidRDefault="009F2999" w:rsidP="009F299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Turn</w:t>
            </w:r>
          </w:p>
          <w:p w:rsidR="009F2999" w:rsidRDefault="009F2999" w:rsidP="00A87D06">
            <w:pPr>
              <w:rPr>
                <w:b/>
              </w:rPr>
            </w:pPr>
          </w:p>
          <w:p w:rsidR="009F2999" w:rsidRDefault="009F2999" w:rsidP="009F2999">
            <w:pPr>
              <w:rPr>
                <w:color w:val="008080"/>
                <w:sz w:val="20"/>
                <w:szCs w:val="20"/>
              </w:rPr>
            </w:pPr>
            <w:r w:rsidRPr="007B73B3">
              <w:rPr>
                <w:color w:val="008080"/>
                <w:sz w:val="20"/>
                <w:szCs w:val="20"/>
              </w:rPr>
              <w:t>Menus: Scriptor Icons Set</w:t>
            </w:r>
          </w:p>
          <w:p w:rsidR="009F2999" w:rsidRPr="00681175" w:rsidRDefault="009F2999" w:rsidP="00A87D06">
            <w:pPr>
              <w:rPr>
                <w:b/>
              </w:rPr>
            </w:pPr>
          </w:p>
        </w:tc>
        <w:tc>
          <w:tcPr>
            <w:tcW w:w="8331" w:type="dxa"/>
          </w:tcPr>
          <w:p w:rsidR="007C375D" w:rsidRDefault="00215752" w:rsidP="001D1D26">
            <w:r>
              <w:t>The set of parts are now going to be scripted and the whole project will become a mobile or kinetic art.</w:t>
            </w:r>
            <w:r w:rsidR="007B73B3">
              <w:t xml:space="preserve"> </w:t>
            </w:r>
            <w:r w:rsidR="009F2999">
              <w:t>Students will</w:t>
            </w:r>
            <w:r>
              <w:t xml:space="preserve"> choose</w:t>
            </w:r>
            <w:r w:rsidR="009F2999">
              <w:t xml:space="preserve"> which</w:t>
            </w:r>
            <w:r>
              <w:t xml:space="preserve"> parts they want to see move</w:t>
            </w:r>
            <w:r w:rsidR="007B73B3">
              <w:t xml:space="preserve">: specify how much and, </w:t>
            </w:r>
            <w:r w:rsidR="009F2999">
              <w:t>when.</w:t>
            </w:r>
          </w:p>
          <w:p w:rsidR="007C375D" w:rsidRDefault="007C375D" w:rsidP="001D1D26"/>
          <w:p w:rsidR="007C375D" w:rsidRDefault="007C375D" w:rsidP="001D1D26">
            <w:r>
              <w:t>Script one of the parts: forward or turn.</w:t>
            </w:r>
          </w:p>
          <w:p w:rsidR="009F2999" w:rsidRDefault="009F2999" w:rsidP="001D1D26"/>
          <w:p w:rsidR="009F2999" w:rsidRDefault="007C375D" w:rsidP="009F2999">
            <w:r>
              <w:t xml:space="preserve">Click and hold down on the word Normal in the top of the Scriptor. </w:t>
            </w:r>
          </w:p>
          <w:p w:rsidR="009F2999" w:rsidRDefault="009F2999" w:rsidP="009F2999"/>
          <w:p w:rsidR="007C375D" w:rsidRDefault="009F2999" w:rsidP="001D1D26">
            <w:r>
              <w:t xml:space="preserve">Give students time to experiment with </w:t>
            </w:r>
            <w:r w:rsidR="007B73B3">
              <w:t>the menu</w:t>
            </w:r>
            <w:r>
              <w:t xml:space="preserve">: When should this script run? This menu has </w:t>
            </w:r>
            <w:r w:rsidR="007C375D">
              <w:t>options beyond normal, ticking, and paused.</w:t>
            </w:r>
          </w:p>
          <w:p w:rsidR="007C375D" w:rsidRDefault="007C375D" w:rsidP="001D1D26"/>
          <w:p w:rsidR="007C375D" w:rsidRDefault="007C375D" w:rsidP="007C375D">
            <w:pPr>
              <w:jc w:val="center"/>
            </w:pPr>
            <w:r>
              <w:object w:dxaOrig="5790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5pt;height:156pt" o:ole="">
                  <v:imagedata r:id="rId8" o:title=""/>
                </v:shape>
                <o:OLEObject Type="Embed" ProgID="PBrush" ShapeID="_x0000_i1025" DrawAspect="Content" ObjectID="_1357449061" r:id="rId9"/>
              </w:object>
            </w:r>
          </w:p>
          <w:p w:rsidR="007C375D" w:rsidRDefault="007C375D" w:rsidP="001D1D26"/>
          <w:p w:rsidR="009F2999" w:rsidRDefault="007C375D" w:rsidP="001D1D26">
            <w:r>
              <w:t xml:space="preserve">This menu adds another level of control over the objects and scripts in a project. Some students may want to use all of them in one project while others may want to use one of them for every part. </w:t>
            </w:r>
            <w:r w:rsidR="009F2999">
              <w:t xml:space="preserve">These kinds of decisions give students practice in analysis. They should be able to </w:t>
            </w:r>
            <w:r w:rsidR="009F2999">
              <w:lastRenderedPageBreak/>
              <w:t>explain what they chose and why. Discuss.</w:t>
            </w:r>
          </w:p>
          <w:p w:rsidR="009F2999" w:rsidRDefault="009F2999" w:rsidP="001D1D26">
            <w:r>
              <w:t>Giv</w:t>
            </w:r>
            <w:r w:rsidR="007B73B3">
              <w:t xml:space="preserve">e students time to </w:t>
            </w:r>
            <w:r>
              <w:t>script</w:t>
            </w:r>
            <w:r w:rsidR="007B73B3">
              <w:t xml:space="preserve"> </w:t>
            </w:r>
            <w:r>
              <w:t>every part they want to see move.</w:t>
            </w:r>
          </w:p>
          <w:p w:rsidR="009F2999" w:rsidRDefault="009F2999" w:rsidP="001D1D26"/>
          <w:p w:rsidR="00215752" w:rsidRDefault="009F2999" w:rsidP="001D1D26">
            <w:r>
              <w:t>Keep the project.</w:t>
            </w:r>
          </w:p>
        </w:tc>
      </w:tr>
      <w:tr w:rsidR="00FA0A1E" w:rsidTr="00681175">
        <w:tc>
          <w:tcPr>
            <w:tcW w:w="1710" w:type="dxa"/>
          </w:tcPr>
          <w:p w:rsidR="00FA0A1E" w:rsidRDefault="009F2999" w:rsidP="00FA0A1E">
            <w:pPr>
              <w:rPr>
                <w:b/>
              </w:rPr>
            </w:pPr>
            <w:r>
              <w:rPr>
                <w:b/>
              </w:rPr>
              <w:lastRenderedPageBreak/>
              <w:t>Lesson 3</w:t>
            </w:r>
          </w:p>
          <w:p w:rsidR="007B73B3" w:rsidRDefault="007B73B3" w:rsidP="00FA0A1E">
            <w:pPr>
              <w:rPr>
                <w:b/>
              </w:rPr>
            </w:pPr>
          </w:p>
          <w:p w:rsidR="007B73B3" w:rsidRDefault="007B73B3" w:rsidP="007B73B3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Text</w:t>
            </w:r>
          </w:p>
          <w:p w:rsidR="007B73B3" w:rsidRDefault="007B73B3" w:rsidP="007B73B3">
            <w:pPr>
              <w:rPr>
                <w:color w:val="008080"/>
                <w:sz w:val="20"/>
                <w:szCs w:val="20"/>
              </w:rPr>
            </w:pPr>
          </w:p>
          <w:p w:rsidR="007B73B3" w:rsidRDefault="007B73B3" w:rsidP="007B73B3">
            <w:pPr>
              <w:rPr>
                <w:color w:val="008080"/>
                <w:sz w:val="20"/>
                <w:szCs w:val="20"/>
              </w:rPr>
            </w:pPr>
          </w:p>
          <w:p w:rsidR="00403BE9" w:rsidRDefault="00403BE9" w:rsidP="007B73B3">
            <w:pPr>
              <w:rPr>
                <w:color w:val="008080"/>
                <w:sz w:val="20"/>
                <w:szCs w:val="20"/>
              </w:rPr>
            </w:pPr>
          </w:p>
          <w:p w:rsidR="007B73B3" w:rsidRDefault="007B73B3" w:rsidP="007B73B3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Add a New Flap</w:t>
            </w:r>
          </w:p>
          <w:p w:rsidR="009F2999" w:rsidRPr="00681175" w:rsidRDefault="009F2999" w:rsidP="00FA0A1E">
            <w:pPr>
              <w:rPr>
                <w:b/>
              </w:rPr>
            </w:pPr>
          </w:p>
        </w:tc>
        <w:tc>
          <w:tcPr>
            <w:tcW w:w="8331" w:type="dxa"/>
          </w:tcPr>
          <w:p w:rsidR="009F2999" w:rsidRDefault="009F2999" w:rsidP="009F2999">
            <w:r>
              <w:t>Type or draw a title for the project.</w:t>
            </w:r>
          </w:p>
          <w:p w:rsidR="00403BE9" w:rsidRDefault="00403BE9" w:rsidP="009F2999"/>
          <w:p w:rsidR="009F2999" w:rsidRDefault="009F2999" w:rsidP="009F2999">
            <w:r>
              <w:t xml:space="preserve">Type directions to the new owner. The directions in this example project are a spoof of confusing and incomplete directions. </w:t>
            </w:r>
          </w:p>
          <w:p w:rsidR="007B73B3" w:rsidRDefault="007B73B3" w:rsidP="009F2999"/>
          <w:p w:rsidR="009F2999" w:rsidRDefault="009F2999" w:rsidP="009F2999">
            <w:r>
              <w:t>Directions can be open or in a flap.</w:t>
            </w:r>
          </w:p>
          <w:p w:rsidR="00403BE9" w:rsidRDefault="00403BE9" w:rsidP="009F2999"/>
          <w:p w:rsidR="009F2999" w:rsidRDefault="009F2999" w:rsidP="009F2999">
            <w:r>
              <w:t>Keep the project.</w:t>
            </w:r>
          </w:p>
          <w:p w:rsidR="00403BE9" w:rsidRDefault="00403BE9" w:rsidP="009F2999"/>
          <w:p w:rsidR="009F2999" w:rsidRDefault="009F2999" w:rsidP="009F2999">
            <w:r>
              <w:t>Give students time to experiment with other</w:t>
            </w:r>
            <w:r w:rsidR="00403BE9">
              <w:t xml:space="preserve"> students’</w:t>
            </w:r>
            <w:r>
              <w:t xml:space="preserve"> projects. </w:t>
            </w:r>
            <w:r w:rsidR="00403BE9">
              <w:t xml:space="preserve">Give them time to </w:t>
            </w:r>
            <w:r>
              <w:t>edit their</w:t>
            </w:r>
            <w:r w:rsidR="00403BE9">
              <w:t xml:space="preserve"> project</w:t>
            </w:r>
            <w:r>
              <w:t>. Ask students to explain what changes they made and why.</w:t>
            </w:r>
          </w:p>
          <w:p w:rsidR="00403BE9" w:rsidRDefault="00403BE9" w:rsidP="009F2999"/>
          <w:p w:rsidR="00FA0A1E" w:rsidRDefault="009F2999" w:rsidP="009F2999">
            <w:r>
              <w:t>Keep the project.</w:t>
            </w:r>
          </w:p>
        </w:tc>
      </w:tr>
      <w:tr w:rsidR="00FA0A1E" w:rsidRPr="00FC639A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5565E3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5565E3" w:rsidRDefault="00B90392" w:rsidP="000D3CEF">
            <w:r w:rsidRPr="005565E3">
              <w:t xml:space="preserve">Common </w:t>
            </w:r>
            <w:r w:rsidR="00666DAA" w:rsidRPr="005565E3">
              <w:t>Core Standards</w:t>
            </w:r>
          </w:p>
          <w:p w:rsidR="005565E3" w:rsidRPr="005565E3" w:rsidRDefault="007B73B3" w:rsidP="000D3CEF">
            <w:r w:rsidRPr="005565E3">
              <w:t>Mathematics Practices: 1-8</w:t>
            </w:r>
            <w:r w:rsidR="005565E3" w:rsidRPr="005565E3">
              <w:t>; 4.NF.6, 4.MD.1; 4.G1.2.3</w:t>
            </w:r>
          </w:p>
          <w:p w:rsidR="00666DAA" w:rsidRPr="005565E3" w:rsidRDefault="00666DAA" w:rsidP="000D3CEF">
            <w:r w:rsidRPr="005565E3">
              <w:t>Language Arts:</w:t>
            </w:r>
            <w:r w:rsidR="007B73B3" w:rsidRPr="005565E3">
              <w:t xml:space="preserve"> </w:t>
            </w:r>
            <w:r w:rsidR="005565E3" w:rsidRPr="005565E3">
              <w:t>4.W.2.d</w:t>
            </w:r>
          </w:p>
          <w:p w:rsidR="000D3CEF" w:rsidRPr="005565E3" w:rsidRDefault="000D3CEF" w:rsidP="000D3CEF"/>
          <w:p w:rsidR="004C1AAD" w:rsidRPr="005565E3" w:rsidRDefault="004C1AAD" w:rsidP="004C1AAD">
            <w:r w:rsidRPr="005565E3">
              <w:t>Bloom’s Taxonomy/Cognitive Domain:</w:t>
            </w:r>
          </w:p>
          <w:p w:rsidR="004C1AAD" w:rsidRPr="005565E3" w:rsidRDefault="007B73B3" w:rsidP="004C1AAD">
            <w:r w:rsidRPr="005565E3">
              <w:t>Knowledge:</w:t>
            </w:r>
            <w:r w:rsidR="004C1AAD" w:rsidRPr="005565E3">
              <w:t xml:space="preserve"> knows</w:t>
            </w:r>
            <w:r w:rsidRPr="005565E3">
              <w:t>, names</w:t>
            </w:r>
          </w:p>
          <w:p w:rsidR="004C1AAD" w:rsidRPr="005565E3" w:rsidRDefault="004C1AAD" w:rsidP="004C1AAD">
            <w:r w:rsidRPr="005565E3">
              <w:t>Appli</w:t>
            </w:r>
            <w:r w:rsidR="007B73B3" w:rsidRPr="005565E3">
              <w:t xml:space="preserve">cation: </w:t>
            </w:r>
            <w:r w:rsidRPr="005565E3">
              <w:t>uses</w:t>
            </w:r>
            <w:r w:rsidR="007B73B3" w:rsidRPr="005565E3">
              <w:t>, constructs, changes</w:t>
            </w:r>
          </w:p>
          <w:p w:rsidR="004C1AAD" w:rsidRPr="005565E3" w:rsidRDefault="004C1AAD" w:rsidP="004C1AAD">
            <w:r w:rsidRPr="005565E3">
              <w:t>Analysis: analyzes, compare</w:t>
            </w:r>
            <w:r w:rsidR="007B73B3" w:rsidRPr="005565E3">
              <w:t>s, experiments</w:t>
            </w:r>
          </w:p>
          <w:p w:rsidR="004C1AAD" w:rsidRPr="005565E3" w:rsidRDefault="007B73B3" w:rsidP="004C1AAD">
            <w:r w:rsidRPr="005565E3">
              <w:t>Synthesis: explains, modifies</w:t>
            </w:r>
          </w:p>
          <w:p w:rsidR="00BE0DAD" w:rsidRPr="005565E3" w:rsidRDefault="00BE0DAD" w:rsidP="004C1AAD"/>
          <w:p w:rsidR="00BE0DAD" w:rsidRPr="005565E3" w:rsidRDefault="00BE0DAD" w:rsidP="00BE0DAD">
            <w:r w:rsidRPr="005565E3">
              <w:t>NETS</w:t>
            </w:r>
          </w:p>
          <w:p w:rsidR="00BE0DAD" w:rsidRPr="005565E3" w:rsidRDefault="007B73B3" w:rsidP="00BE0DAD">
            <w:r w:rsidRPr="005565E3">
              <w:t>1. c</w:t>
            </w:r>
          </w:p>
          <w:p w:rsidR="00BE0DAD" w:rsidRPr="005565E3" w:rsidRDefault="007B73B3" w:rsidP="00BE0DAD">
            <w:r w:rsidRPr="005565E3">
              <w:t>3. b</w:t>
            </w:r>
          </w:p>
          <w:p w:rsidR="00BE0DAD" w:rsidRPr="005565E3" w:rsidRDefault="00BE0DAD" w:rsidP="00BE0DAD">
            <w:r w:rsidRPr="005565E3">
              <w:t>4. a, b, c, d</w:t>
            </w:r>
          </w:p>
          <w:p w:rsidR="00EB56B7" w:rsidRPr="00916959" w:rsidRDefault="007B73B3" w:rsidP="004C1AAD">
            <w:pPr>
              <w:rPr>
                <w:color w:val="FF00FF"/>
                <w:lang w:val="pt-PT"/>
              </w:rPr>
            </w:pPr>
            <w:r w:rsidRPr="005565E3">
              <w:rPr>
                <w:lang w:val="pt-PT"/>
              </w:rPr>
              <w:t>5. a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1704F8" w:rsidP="00F21221">
            <w:hyperlink r:id="rId10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1704F8" w:rsidP="00F21221">
            <w:hyperlink r:id="rId11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1704F8" w:rsidP="00F30E17">
            <w:hyperlink r:id="rId12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1704F8" w:rsidP="00F21221">
            <w:hyperlink r:id="rId13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1704F8" w:rsidP="00847E3C">
            <w:pPr>
              <w:rPr>
                <w:b/>
              </w:rPr>
            </w:pPr>
            <w:hyperlink r:id="rId14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0E4D4D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</w:p>
          <w:p w:rsidR="00FA0A1E" w:rsidRPr="00666DAA" w:rsidRDefault="009B4955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>
      <w:r>
        <w:tab/>
      </w:r>
      <w:r>
        <w:tab/>
      </w:r>
      <w:r>
        <w:tab/>
      </w:r>
    </w:p>
    <w:p w:rsidR="001B2FB3" w:rsidRDefault="00A87D06" w:rsidP="00F30E17">
      <w:r>
        <w:tab/>
      </w:r>
      <w:r>
        <w:tab/>
      </w:r>
    </w:p>
    <w:sectPr w:rsidR="001B2FB3" w:rsidSect="00867FF2">
      <w:headerReference w:type="default" r:id="rId15"/>
      <w:footerReference w:type="even" r:id="rId16"/>
      <w:footerReference w:type="default" r:id="rId17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B1" w:rsidRDefault="005627B1">
      <w:r>
        <w:separator/>
      </w:r>
    </w:p>
  </w:endnote>
  <w:endnote w:type="continuationSeparator" w:id="0">
    <w:p w:rsidR="005627B1" w:rsidRDefault="0056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1704F8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1704F8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BE9">
      <w:rPr>
        <w:rStyle w:val="PageNumber"/>
        <w:noProof/>
      </w:rPr>
      <w:t>4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B1" w:rsidRDefault="005627B1">
      <w:r>
        <w:separator/>
      </w:r>
    </w:p>
  </w:footnote>
  <w:footnote w:type="continuationSeparator" w:id="0">
    <w:p w:rsidR="005627B1" w:rsidRDefault="00562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6A91"/>
    <w:rsid w:val="000D3CEF"/>
    <w:rsid w:val="000E4D4D"/>
    <w:rsid w:val="00115DA9"/>
    <w:rsid w:val="00136275"/>
    <w:rsid w:val="001704F8"/>
    <w:rsid w:val="00175FAF"/>
    <w:rsid w:val="001851BB"/>
    <w:rsid w:val="001B2FB3"/>
    <w:rsid w:val="001D1D26"/>
    <w:rsid w:val="001F1191"/>
    <w:rsid w:val="001F5C30"/>
    <w:rsid w:val="00215752"/>
    <w:rsid w:val="0022273D"/>
    <w:rsid w:val="00231BD6"/>
    <w:rsid w:val="00265652"/>
    <w:rsid w:val="002829A9"/>
    <w:rsid w:val="002A12FF"/>
    <w:rsid w:val="002A1886"/>
    <w:rsid w:val="002A7309"/>
    <w:rsid w:val="002B5F72"/>
    <w:rsid w:val="00323849"/>
    <w:rsid w:val="00377B1A"/>
    <w:rsid w:val="00394491"/>
    <w:rsid w:val="00395A27"/>
    <w:rsid w:val="003C6FAF"/>
    <w:rsid w:val="00403BE9"/>
    <w:rsid w:val="004277F9"/>
    <w:rsid w:val="004C1AAD"/>
    <w:rsid w:val="004D7642"/>
    <w:rsid w:val="004D79BF"/>
    <w:rsid w:val="005064A3"/>
    <w:rsid w:val="005100EF"/>
    <w:rsid w:val="00546E1A"/>
    <w:rsid w:val="00550419"/>
    <w:rsid w:val="005565E3"/>
    <w:rsid w:val="005627B1"/>
    <w:rsid w:val="0057722D"/>
    <w:rsid w:val="00577C38"/>
    <w:rsid w:val="00581E9F"/>
    <w:rsid w:val="005F459F"/>
    <w:rsid w:val="0060648C"/>
    <w:rsid w:val="00611D08"/>
    <w:rsid w:val="00643A13"/>
    <w:rsid w:val="00666DAA"/>
    <w:rsid w:val="00681175"/>
    <w:rsid w:val="006B0461"/>
    <w:rsid w:val="00774F6A"/>
    <w:rsid w:val="007776B6"/>
    <w:rsid w:val="007B73B3"/>
    <w:rsid w:val="007C375D"/>
    <w:rsid w:val="007E6367"/>
    <w:rsid w:val="007E7192"/>
    <w:rsid w:val="007F2119"/>
    <w:rsid w:val="00826068"/>
    <w:rsid w:val="0083261B"/>
    <w:rsid w:val="00847E3C"/>
    <w:rsid w:val="00867FF2"/>
    <w:rsid w:val="00884350"/>
    <w:rsid w:val="00916959"/>
    <w:rsid w:val="009B4955"/>
    <w:rsid w:val="009F2999"/>
    <w:rsid w:val="00A67566"/>
    <w:rsid w:val="00A87D06"/>
    <w:rsid w:val="00AB43C9"/>
    <w:rsid w:val="00AC0148"/>
    <w:rsid w:val="00B022F4"/>
    <w:rsid w:val="00B90392"/>
    <w:rsid w:val="00BE0DAD"/>
    <w:rsid w:val="00BE2BBC"/>
    <w:rsid w:val="00C12199"/>
    <w:rsid w:val="00C36AC1"/>
    <w:rsid w:val="00D453F3"/>
    <w:rsid w:val="00D5795F"/>
    <w:rsid w:val="00D926F6"/>
    <w:rsid w:val="00EB56B7"/>
    <w:rsid w:val="00EF3A15"/>
    <w:rsid w:val="00F133FD"/>
    <w:rsid w:val="00F21221"/>
    <w:rsid w:val="00F30E17"/>
    <w:rsid w:val="00F766F4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queakland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orestandards.or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ste.Illinois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toysillinois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ct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2</cp:revision>
  <dcterms:created xsi:type="dcterms:W3CDTF">2011-01-25T14:23:00Z</dcterms:created>
  <dcterms:modified xsi:type="dcterms:W3CDTF">2011-01-25T14:23:00Z</dcterms:modified>
</cp:coreProperties>
</file>